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1AA76288" w14:textId="5BE6BAE9" w:rsidR="0096013D" w:rsidRPr="0096013D" w:rsidRDefault="00BC5AC7" w:rsidP="0096013D">
      <w:pPr>
        <w:pStyle w:val="Heading1"/>
      </w:pPr>
      <w:r>
        <w:t>Trustee Education Policy</w:t>
      </w:r>
    </w:p>
    <w:p w14:paraId="22D487E5" w14:textId="77777777" w:rsidR="00BC5AC7" w:rsidRPr="00BC5AC7" w:rsidRDefault="00BC5AC7" w:rsidP="00BC5AC7">
      <w:pPr>
        <w:pStyle w:val="Heading2"/>
      </w:pPr>
      <w:r w:rsidRPr="00BC5AC7">
        <w:rPr>
          <w:rStyle w:val="Strong"/>
          <w:b/>
          <w:bCs/>
        </w:rPr>
        <w:t>Purpose</w:t>
      </w:r>
    </w:p>
    <w:p w14:paraId="4E6E1E34" w14:textId="77777777" w:rsidR="00BC5AC7" w:rsidRPr="00BC5AC7" w:rsidRDefault="00BC5AC7" w:rsidP="00BC5AC7">
      <w:pPr>
        <w:pStyle w:val="font-claude-response-body"/>
        <w:rPr>
          <w:rFonts w:ascii="Segoe UI" w:hAnsi="Segoe UI" w:cs="Segoe UI"/>
        </w:rPr>
      </w:pPr>
      <w:r w:rsidRPr="00BC5AC7">
        <w:rPr>
          <w:rFonts w:ascii="Segoe UI" w:hAnsi="Segoe UI" w:cs="Segoe UI"/>
        </w:rPr>
        <w:t>This policy establishes requirements for the continuing education of members of the [LIBRARY NAME] Board of Trustees, as required by Education Law Section 260-d. Continuing education helps trustees fulfill their responsibilities as stewards of public resources and supports effective library governance. This policy applies to all trustees, whether elected or appointed.</w:t>
      </w:r>
    </w:p>
    <w:p w14:paraId="71898BB3" w14:textId="77777777" w:rsidR="00BC5AC7" w:rsidRPr="00BC5AC7" w:rsidRDefault="00BC5AC7" w:rsidP="00BC5AC7">
      <w:pPr>
        <w:pStyle w:val="Heading2"/>
      </w:pPr>
      <w:r w:rsidRPr="00BC5AC7">
        <w:rPr>
          <w:rStyle w:val="Strong"/>
          <w:b/>
          <w:bCs/>
        </w:rPr>
        <w:t>Compliance</w:t>
      </w:r>
      <w:r w:rsidRPr="00BC5AC7">
        <w:rPr>
          <w:rStyle w:val="Strong"/>
        </w:rPr>
        <w:t xml:space="preserve"> </w:t>
      </w:r>
      <w:r w:rsidRPr="00BC5AC7">
        <w:rPr>
          <w:rStyle w:val="Strong"/>
          <w:b/>
          <w:bCs/>
        </w:rPr>
        <w:t>Year</w:t>
      </w:r>
    </w:p>
    <w:p w14:paraId="44C157ED" w14:textId="77777777" w:rsidR="00BC5AC7" w:rsidRPr="00BC5AC7" w:rsidRDefault="00BC5AC7" w:rsidP="00BC5AC7">
      <w:pPr>
        <w:pStyle w:val="font-claude-response-body"/>
        <w:rPr>
          <w:rFonts w:ascii="Segoe UI" w:hAnsi="Segoe UI" w:cs="Segoe UI"/>
        </w:rPr>
      </w:pPr>
      <w:r w:rsidRPr="00BC5AC7">
        <w:rPr>
          <w:rFonts w:ascii="Segoe UI" w:hAnsi="Segoe UI" w:cs="Segoe UI"/>
        </w:rPr>
        <w:t>The trustee continuing education compliance year runs from the first day of the library's fiscal year to the last day of the library's fiscal year.</w:t>
      </w:r>
    </w:p>
    <w:p w14:paraId="4856E95A" w14:textId="35FEDAC8" w:rsidR="00BC5AC7" w:rsidRPr="00BC5AC7" w:rsidRDefault="00BC5AC7" w:rsidP="00BC5AC7">
      <w:pPr>
        <w:pStyle w:val="font-claude-response-body"/>
        <w:rPr>
          <w:rFonts w:ascii="Segoe UI" w:hAnsi="Segoe UI" w:cs="Segoe UI"/>
        </w:rPr>
      </w:pPr>
      <w:r w:rsidRPr="00BC5AC7">
        <w:rPr>
          <w:rFonts w:ascii="Segoe UI" w:hAnsi="Segoe UI" w:cs="Segoe UI"/>
          <w:highlight w:val="yellow"/>
        </w:rPr>
        <w:t>[POLICY NOTE: Insert the library's fiscal year dates here.]</w:t>
      </w:r>
    </w:p>
    <w:p w14:paraId="4942FBC2" w14:textId="370C0597" w:rsidR="00BC5AC7" w:rsidRDefault="00BC5AC7" w:rsidP="00BC5AC7">
      <w:pPr>
        <w:pStyle w:val="font-claude-response-body"/>
        <w:rPr>
          <w:rFonts w:ascii="Segoe UI" w:hAnsi="Segoe UI" w:cs="Segoe UI"/>
        </w:rPr>
      </w:pPr>
      <w:r w:rsidRPr="00BC5AC7">
        <w:rPr>
          <w:rFonts w:ascii="Segoe UI" w:hAnsi="Segoe UI" w:cs="Segoe UI"/>
        </w:rPr>
        <w:t>Each trustee must complete a minimum of two hours of approved continuing education during each compliance year, as required by Education Law Section 260-d.</w:t>
      </w:r>
    </w:p>
    <w:p w14:paraId="75F60268" w14:textId="77777777" w:rsidR="00986541" w:rsidRPr="00BC5AC7" w:rsidRDefault="00986541" w:rsidP="00986541">
      <w:pPr>
        <w:pStyle w:val="Heading3"/>
      </w:pPr>
      <w:r w:rsidRPr="00BC5AC7">
        <w:rPr>
          <w:rStyle w:val="Strong"/>
          <w:b/>
          <w:bCs/>
        </w:rPr>
        <w:t>Newly Appointed or Elected Trustees</w:t>
      </w:r>
    </w:p>
    <w:p w14:paraId="6CD1ADEB" w14:textId="4C86FFB8" w:rsidR="00986541" w:rsidRPr="00986541" w:rsidRDefault="00986541" w:rsidP="00986541">
      <w:pPr>
        <w:pStyle w:val="font-claude-response-body"/>
        <w:rPr>
          <w:rFonts w:ascii="Segoe UI" w:hAnsi="Segoe UI" w:cs="Segoe UI"/>
        </w:rPr>
      </w:pPr>
      <w:r w:rsidRPr="00BC5AC7">
        <w:rPr>
          <w:rFonts w:ascii="Segoe UI" w:hAnsi="Segoe UI" w:cs="Segoe UI"/>
        </w:rPr>
        <w:t>A trustee who joins the board mid-year to fill a vacancy may be granted a prorated continuing education requirement for their first partial compliance year. The board determines the prorated requirement by a board action taken at the time of the trustee's appointment. This determination is recorded in the board minutes.</w:t>
      </w:r>
    </w:p>
    <w:p w14:paraId="15FE4E8D" w14:textId="77777777" w:rsidR="00986541" w:rsidRPr="00986541" w:rsidRDefault="00986541" w:rsidP="00986541">
      <w:pPr>
        <w:pStyle w:val="Heading2"/>
      </w:pPr>
      <w:r w:rsidRPr="00986541">
        <w:t>Approved Continuing Education</w:t>
      </w:r>
    </w:p>
    <w:p w14:paraId="581841B4" w14:textId="77777777" w:rsidR="00986541"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To count toward the two-hour annual requirement under Education Law Section 260-d, continuing education must address one or more of the following topics:</w:t>
      </w:r>
    </w:p>
    <w:p w14:paraId="359D6A80" w14:textId="77777777" w:rsidR="00986541" w:rsidRPr="00986541" w:rsidRDefault="00986541" w:rsidP="00986541">
      <w:pPr>
        <w:numPr>
          <w:ilvl w:val="0"/>
          <w:numId w:val="13"/>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Financial oversight</w:t>
      </w:r>
    </w:p>
    <w:p w14:paraId="730B7309" w14:textId="77777777" w:rsidR="00986541" w:rsidRPr="00986541" w:rsidRDefault="00986541" w:rsidP="00986541">
      <w:pPr>
        <w:numPr>
          <w:ilvl w:val="0"/>
          <w:numId w:val="13"/>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Accountability</w:t>
      </w:r>
    </w:p>
    <w:p w14:paraId="19490580" w14:textId="77777777" w:rsidR="00986541" w:rsidRPr="00986541" w:rsidRDefault="00986541" w:rsidP="00986541">
      <w:pPr>
        <w:numPr>
          <w:ilvl w:val="0"/>
          <w:numId w:val="13"/>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Fiduciary responsibilities</w:t>
      </w:r>
    </w:p>
    <w:p w14:paraId="2164C243" w14:textId="77777777" w:rsidR="00986541" w:rsidRPr="00986541" w:rsidRDefault="00986541" w:rsidP="00986541">
      <w:pPr>
        <w:numPr>
          <w:ilvl w:val="0"/>
          <w:numId w:val="13"/>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General powers and duties of a library trustee</w:t>
      </w:r>
    </w:p>
    <w:p w14:paraId="317D581C" w14:textId="77777777" w:rsidR="00986541"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lastRenderedPageBreak/>
        <w:t>Training on other topics, including Sexual Harassment Prevention Training, does not count toward the two-hour requirement under Education Law Section 260-d, regardless of the provider or format.</w:t>
      </w:r>
    </w:p>
    <w:p w14:paraId="30AA06DC" w14:textId="77777777" w:rsidR="00986541"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Continuing education must be completed through a provider approved by the Commissioner of Education. OWWL Library System, including its Trustee Academy and live sessions offered directly by the System, is the preferred provider for member libraries and is pre-approved under Education Law Section 260-d.</w:t>
      </w:r>
    </w:p>
    <w:p w14:paraId="05D5F3DA" w14:textId="77777777" w:rsidR="00986541"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Other pre-approved providers include:</w:t>
      </w:r>
    </w:p>
    <w:p w14:paraId="7BF8A212"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New York State Library and Division of Library Development</w:t>
      </w:r>
    </w:p>
    <w:p w14:paraId="0C6E8F5E"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New York Library Association, including the Library Trustees Section and other sections and roundtables</w:t>
      </w:r>
    </w:p>
    <w:p w14:paraId="087EC253"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Reference and Research Library Resources Councils</w:t>
      </w:r>
    </w:p>
    <w:p w14:paraId="01F18DF9"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Empire State Library Network</w:t>
      </w:r>
    </w:p>
    <w:p w14:paraId="2AE03631"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PULISDO (Public Library System Directors Organization)</w:t>
      </w:r>
    </w:p>
    <w:p w14:paraId="768BBA22"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proofErr w:type="spellStart"/>
      <w:r w:rsidRPr="00986541">
        <w:rPr>
          <w:rFonts w:ascii="Segoe UI" w:eastAsia="Times New Roman" w:hAnsi="Segoe UI" w:cs="Segoe UI"/>
          <w:sz w:val="24"/>
          <w:szCs w:val="24"/>
        </w:rPr>
        <w:t>WebJunction</w:t>
      </w:r>
      <w:proofErr w:type="spellEnd"/>
    </w:p>
    <w:p w14:paraId="6970B45E" w14:textId="77777777" w:rsidR="00986541" w:rsidRPr="00986541" w:rsidRDefault="00986541" w:rsidP="00986541">
      <w:pPr>
        <w:numPr>
          <w:ilvl w:val="0"/>
          <w:numId w:val="14"/>
        </w:num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American Library Association, including United for Libraries and other divisions</w:t>
      </w:r>
    </w:p>
    <w:p w14:paraId="23C46A78" w14:textId="77777777" w:rsidR="00986541"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Additional providers may be approved by OWWL Library System. Trustees who wish to use a provider not listed above should contact OWWL Library System before completing the activity to confirm eligibility.</w:t>
      </w:r>
    </w:p>
    <w:p w14:paraId="41353BC9" w14:textId="77777777" w:rsidR="00986541"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rPr>
        <w:t>Continuing education may be delivered in person or online. Approved formats include lectures, workshops, live webinars, recorded webinars, online courses, and educational programs held at regional, state, or national library association conferences.</w:t>
      </w:r>
    </w:p>
    <w:p w14:paraId="5D95845F" w14:textId="77777777" w:rsidR="00986541" w:rsidRPr="00986541" w:rsidRDefault="00986541" w:rsidP="00986541">
      <w:pPr>
        <w:pStyle w:val="Heading2"/>
      </w:pPr>
      <w:r w:rsidRPr="00986541">
        <w:t>Sexual Harassment Prevention Training</w:t>
      </w:r>
    </w:p>
    <w:p w14:paraId="28FEFA4B" w14:textId="5395706D" w:rsidR="00986541" w:rsidRPr="00986541" w:rsidRDefault="00986541" w:rsidP="00986541">
      <w:pPr>
        <w:pStyle w:val="font-claude-response-body"/>
        <w:rPr>
          <w:rFonts w:ascii="Segoe UI" w:hAnsi="Segoe UI" w:cs="Segoe UI"/>
        </w:rPr>
      </w:pPr>
      <w:r w:rsidRPr="00986541">
        <w:rPr>
          <w:rFonts w:ascii="Segoe UI" w:hAnsi="Segoe UI" w:cs="Segoe UI"/>
        </w:rPr>
        <w:t>All trustees must complete New York State Sexual Harassment Prevention Training annually, as required by Labor Law Section 201-g. This requirement is separate from and in addition to the continuing education requirement under Education Law Section 260-d. Completing Sexual Harassment Prevention Training does not satisfy any portion of the two-hour annual continuing education requirement. Trustees should follow the library's Sexual Harassment Prevention Policy for training procedures, deadlines, and filing requirements.</w:t>
      </w:r>
    </w:p>
    <w:p w14:paraId="61D116E4" w14:textId="224C5A6E" w:rsidR="00BC5AC7" w:rsidRPr="00986541" w:rsidRDefault="00986541" w:rsidP="00986541">
      <w:pPr>
        <w:spacing w:before="100" w:beforeAutospacing="1" w:after="100" w:afterAutospacing="1" w:line="240" w:lineRule="auto"/>
        <w:rPr>
          <w:rFonts w:ascii="Segoe UI" w:eastAsia="Times New Roman" w:hAnsi="Segoe UI" w:cs="Segoe UI"/>
          <w:sz w:val="24"/>
          <w:szCs w:val="24"/>
        </w:rPr>
      </w:pPr>
      <w:r w:rsidRPr="00986541">
        <w:rPr>
          <w:rFonts w:ascii="Segoe UI" w:eastAsia="Times New Roman" w:hAnsi="Segoe UI" w:cs="Segoe UI"/>
          <w:sz w:val="24"/>
          <w:szCs w:val="24"/>
          <w:highlight w:val="yellow"/>
        </w:rPr>
        <w:t xml:space="preserve">[POLICY NOTE: Sexual Harassment Prevention Training must be interactive and meet the minimum standards established by the New York State Division of Human Rights. Many </w:t>
      </w:r>
      <w:r w:rsidRPr="00986541">
        <w:rPr>
          <w:rFonts w:ascii="Segoe UI" w:eastAsia="Times New Roman" w:hAnsi="Segoe UI" w:cs="Segoe UI"/>
          <w:sz w:val="24"/>
          <w:szCs w:val="24"/>
          <w:highlight w:val="yellow"/>
        </w:rPr>
        <w:lastRenderedPageBreak/>
        <w:t>libraries access this training through their insurance carrier at no cost</w:t>
      </w:r>
      <w:r w:rsidRPr="00986541">
        <w:rPr>
          <w:rFonts w:ascii="Segoe UI" w:eastAsia="Times New Roman" w:hAnsi="Segoe UI" w:cs="Segoe UI"/>
          <w:sz w:val="24"/>
          <w:szCs w:val="24"/>
          <w:highlight w:val="yellow"/>
        </w:rPr>
        <w:t xml:space="preserve"> or through the EAP</w:t>
      </w:r>
      <w:r w:rsidRPr="00986541">
        <w:rPr>
          <w:rFonts w:ascii="Segoe UI" w:eastAsia="Times New Roman" w:hAnsi="Segoe UI" w:cs="Segoe UI"/>
          <w:sz w:val="24"/>
          <w:szCs w:val="24"/>
          <w:highlight w:val="yellow"/>
        </w:rPr>
        <w:t>.]</w:t>
      </w:r>
    </w:p>
    <w:p w14:paraId="658622B9" w14:textId="77777777" w:rsidR="00986541" w:rsidRPr="00986541" w:rsidRDefault="00986541" w:rsidP="00986541">
      <w:pPr>
        <w:pStyle w:val="Heading2"/>
      </w:pPr>
      <w:r w:rsidRPr="00986541">
        <w:t>Reimbursement of Expenses</w:t>
      </w:r>
    </w:p>
    <w:p w14:paraId="65EEF9DB" w14:textId="2090C590" w:rsidR="00986541" w:rsidRPr="00986541" w:rsidRDefault="00986541" w:rsidP="00986541">
      <w:pPr>
        <w:pStyle w:val="font-claude-response-body"/>
        <w:rPr>
          <w:rFonts w:ascii="Segoe UI" w:hAnsi="Segoe UI" w:cs="Segoe UI"/>
        </w:rPr>
      </w:pPr>
      <w:r w:rsidRPr="00986541">
        <w:rPr>
          <w:rFonts w:ascii="Segoe UI" w:hAnsi="Segoe UI" w:cs="Segoe UI"/>
        </w:rPr>
        <w:t>Actual and necessary expenses a trustee incurs in complying with this policy are a charge against the library, as required by Education Law Section 260-d. All expenses must be pre-approved by the board of trustees</w:t>
      </w:r>
      <w:r>
        <w:rPr>
          <w:rFonts w:ascii="Segoe UI" w:hAnsi="Segoe UI" w:cs="Segoe UI"/>
        </w:rPr>
        <w:t xml:space="preserve"> in accordance with local policy</w:t>
      </w:r>
      <w:r w:rsidRPr="00986541">
        <w:rPr>
          <w:rFonts w:ascii="Segoe UI" w:hAnsi="Segoe UI" w:cs="Segoe UI"/>
        </w:rPr>
        <w:t xml:space="preserve"> before they are incurred. Pre-approval is a procedural requirement; it does not authorize the board to deny reimbursement for expenses that are genuinely actual and necessary under the law.</w:t>
      </w:r>
    </w:p>
    <w:p w14:paraId="5FAE0130" w14:textId="0ED79055" w:rsidR="00BC5AC7" w:rsidRPr="00986541" w:rsidRDefault="00986541" w:rsidP="00BC5AC7">
      <w:pPr>
        <w:pStyle w:val="font-claude-response-body"/>
        <w:rPr>
          <w:rFonts w:ascii="Segoe UI" w:hAnsi="Segoe UI" w:cs="Segoe UI"/>
        </w:rPr>
      </w:pPr>
      <w:r w:rsidRPr="00986541">
        <w:rPr>
          <w:rFonts w:ascii="Segoe UI" w:hAnsi="Segoe UI" w:cs="Segoe UI"/>
          <w:highlight w:val="yellow"/>
        </w:rPr>
        <w:t>[POLICY NOTE: This policy should align with the library's travel, conference, or continuing education reimbursement policy if one exists. Trustees should review applicable policies before incurring expenses. The board may wish to define in advance what constitutes "actual and necessary" expenses, for example registration fees and mileage. Overnight travel or expenses above a set threshold may require a separate prior board approval. Contact OWWL Library System if you need guidance on structuring expense pre-approval procedures.]</w:t>
      </w:r>
    </w:p>
    <w:p w14:paraId="3170705F" w14:textId="77777777" w:rsidR="00BC5AC7" w:rsidRPr="00BC5AC7" w:rsidRDefault="00BC5AC7" w:rsidP="00BC5AC7">
      <w:pPr>
        <w:pStyle w:val="Heading2"/>
      </w:pPr>
      <w:r w:rsidRPr="00BC5AC7">
        <w:rPr>
          <w:rStyle w:val="Strong"/>
          <w:b/>
          <w:bCs/>
        </w:rPr>
        <w:t>Filing Evidence of Completion</w:t>
      </w:r>
    </w:p>
    <w:p w14:paraId="4193AF7F" w14:textId="77777777" w:rsidR="00BC5AC7" w:rsidRPr="00BC5AC7" w:rsidRDefault="00BC5AC7" w:rsidP="00BC5AC7">
      <w:pPr>
        <w:pStyle w:val="font-claude-response-body"/>
        <w:rPr>
          <w:rFonts w:ascii="Segoe UI" w:hAnsi="Segoe UI" w:cs="Segoe UI"/>
        </w:rPr>
      </w:pPr>
      <w:r w:rsidRPr="00BC5AC7">
        <w:rPr>
          <w:rFonts w:ascii="Segoe UI" w:hAnsi="Segoe UI" w:cs="Segoe UI"/>
        </w:rPr>
        <w:t>Each trustee must file evidence of completion with the board president no later than 30 days before the last regular board meeting of the compliance year. Evidence of completion must include one of the following:</w:t>
      </w:r>
    </w:p>
    <w:p w14:paraId="59C083CF" w14:textId="77777777" w:rsidR="00BC5AC7" w:rsidRPr="00BC5AC7" w:rsidRDefault="00BC5AC7" w:rsidP="00BC5AC7">
      <w:pPr>
        <w:pStyle w:val="whitespace-normal"/>
        <w:numPr>
          <w:ilvl w:val="0"/>
          <w:numId w:val="11"/>
        </w:numPr>
        <w:rPr>
          <w:rFonts w:ascii="Segoe UI" w:hAnsi="Segoe UI" w:cs="Segoe UI"/>
        </w:rPr>
      </w:pPr>
      <w:r w:rsidRPr="00BC5AC7">
        <w:rPr>
          <w:rFonts w:ascii="Segoe UI" w:hAnsi="Segoe UI" w:cs="Segoe UI"/>
        </w:rPr>
        <w:t>A certificate of completion issued by an approved provider, or</w:t>
      </w:r>
    </w:p>
    <w:p w14:paraId="498D92E3" w14:textId="1CE2D1E4" w:rsidR="00BC5AC7" w:rsidRPr="00BC5AC7" w:rsidRDefault="00BC5AC7" w:rsidP="00BC5AC7">
      <w:pPr>
        <w:pStyle w:val="whitespace-normal"/>
        <w:numPr>
          <w:ilvl w:val="0"/>
          <w:numId w:val="11"/>
        </w:numPr>
        <w:rPr>
          <w:rFonts w:ascii="Segoe UI" w:hAnsi="Segoe UI" w:cs="Segoe UI"/>
        </w:rPr>
      </w:pPr>
      <w:r w:rsidRPr="00BC5AC7">
        <w:rPr>
          <w:rFonts w:ascii="Segoe UI" w:hAnsi="Segoe UI" w:cs="Segoe UI"/>
        </w:rPr>
        <w:t xml:space="preserve">A signed self-assurance form identifying the approved provider, describing the format and content of each activity, and stating the date and time the trustee began and completed each activity. </w:t>
      </w:r>
    </w:p>
    <w:p w14:paraId="5748DD83" w14:textId="77777777" w:rsidR="00BC5AC7" w:rsidRPr="00BC5AC7" w:rsidRDefault="00BC5AC7" w:rsidP="00BC5AC7">
      <w:pPr>
        <w:pStyle w:val="font-claude-response-body"/>
        <w:rPr>
          <w:rFonts w:ascii="Segoe UI" w:hAnsi="Segoe UI" w:cs="Segoe UI"/>
        </w:rPr>
      </w:pPr>
      <w:r w:rsidRPr="00BC5AC7">
        <w:rPr>
          <w:rFonts w:ascii="Segoe UI" w:hAnsi="Segoe UI" w:cs="Segoe UI"/>
        </w:rPr>
        <w:t>The board president transmits all certificates and self-assurance forms to the library director for permanent filing in the library's records.</w:t>
      </w:r>
    </w:p>
    <w:p w14:paraId="2166DCA2" w14:textId="77777777" w:rsidR="00BC5AC7" w:rsidRPr="00BC5AC7" w:rsidRDefault="00BC5AC7" w:rsidP="00BC5AC7">
      <w:pPr>
        <w:pStyle w:val="Heading2"/>
      </w:pPr>
      <w:r w:rsidRPr="00BC5AC7">
        <w:rPr>
          <w:rStyle w:val="Strong"/>
          <w:b/>
          <w:bCs/>
        </w:rPr>
        <w:t>Board Confirmation of Compliance</w:t>
      </w:r>
    </w:p>
    <w:p w14:paraId="2589AF14" w14:textId="77777777" w:rsidR="00B35AD7" w:rsidRPr="00B35AD7" w:rsidRDefault="00B35AD7" w:rsidP="00B35AD7">
      <w:pPr>
        <w:pStyle w:val="font-claude-response-body"/>
        <w:rPr>
          <w:rFonts w:ascii="Segoe UI" w:hAnsi="Segoe UI" w:cs="Segoe UI"/>
        </w:rPr>
      </w:pPr>
      <w:r w:rsidRPr="00B35AD7">
        <w:rPr>
          <w:rFonts w:ascii="Segoe UI" w:hAnsi="Segoe UI" w:cs="Segoe UI"/>
        </w:rPr>
        <w:t>At the last regular board meeting of the compliance year, the board passes a motion confirming compliance for all trustees who have filed evidence of completion. The motion identifies by name any trustee who has not filed. This confirmation is recorded in the board minutes.</w:t>
      </w:r>
    </w:p>
    <w:p w14:paraId="457397ED" w14:textId="2E0E5328" w:rsidR="00BC5AC7" w:rsidRPr="00BC5AC7" w:rsidRDefault="00B35AD7" w:rsidP="00B35AD7">
      <w:pPr>
        <w:pStyle w:val="font-claude-response-body"/>
        <w:rPr>
          <w:rFonts w:ascii="Segoe UI" w:hAnsi="Segoe UI" w:cs="Segoe UI"/>
        </w:rPr>
      </w:pPr>
      <w:r w:rsidRPr="00B35AD7">
        <w:rPr>
          <w:rFonts w:ascii="Segoe UI" w:hAnsi="Segoe UI" w:cs="Segoe UI"/>
        </w:rPr>
        <w:lastRenderedPageBreak/>
        <w:t>If a trustee has not filed evidence of completion by the 30-day deadline, the board president notifies that trustee in writing before the last regular meeting. The notification states that the trustee has not yet filed required evidence and identifies the consequences of non-compliance under this policy.</w:t>
      </w:r>
    </w:p>
    <w:p w14:paraId="7E98333E" w14:textId="77777777" w:rsidR="00BC5AC7" w:rsidRPr="00BC5AC7" w:rsidRDefault="00BC5AC7" w:rsidP="00BC5AC7">
      <w:pPr>
        <w:pStyle w:val="Heading2"/>
      </w:pPr>
      <w:r w:rsidRPr="00BC5AC7">
        <w:rPr>
          <w:rStyle w:val="Strong"/>
          <w:b/>
          <w:bCs/>
        </w:rPr>
        <w:t>Consequences of Non-Compliance</w:t>
      </w:r>
    </w:p>
    <w:p w14:paraId="2FF2C1B1" w14:textId="77777777" w:rsidR="00BC5AC7" w:rsidRPr="00BC5AC7" w:rsidRDefault="00BC5AC7" w:rsidP="00BC5AC7">
      <w:pPr>
        <w:pStyle w:val="font-claude-response-body"/>
        <w:rPr>
          <w:rFonts w:ascii="Segoe UI" w:hAnsi="Segoe UI" w:cs="Segoe UI"/>
        </w:rPr>
      </w:pPr>
      <w:r w:rsidRPr="00BC5AC7">
        <w:rPr>
          <w:rFonts w:ascii="Segoe UI" w:hAnsi="Segoe UI" w:cs="Segoe UI"/>
        </w:rPr>
        <w:t>A trustee who has not completed the required continuing education by the close of the compliance year is suspended from voting participation in board meetings for up to 30 days. During the suspension period, the trustee remains a member of the board but may not vote on board matters.</w:t>
      </w:r>
    </w:p>
    <w:p w14:paraId="0EFD79FF" w14:textId="77777777" w:rsidR="00BC5AC7" w:rsidRPr="00BC5AC7" w:rsidRDefault="00BC5AC7" w:rsidP="00BC5AC7">
      <w:pPr>
        <w:pStyle w:val="font-claude-response-body"/>
        <w:rPr>
          <w:rFonts w:ascii="Segoe UI" w:hAnsi="Segoe UI" w:cs="Segoe UI"/>
        </w:rPr>
      </w:pPr>
      <w:r w:rsidRPr="00BC5AC7">
        <w:rPr>
          <w:rFonts w:ascii="Segoe UI" w:hAnsi="Segoe UI" w:cs="Segoe UI"/>
        </w:rPr>
        <w:t>If the trustee completes the required continuing education and files evidence of completion during the suspension period, the suspension ends and the trustee resumes full participation.</w:t>
      </w:r>
    </w:p>
    <w:p w14:paraId="2D3DE52F" w14:textId="77777777" w:rsidR="00BC5AC7" w:rsidRPr="00BC5AC7" w:rsidRDefault="00BC5AC7" w:rsidP="00BC5AC7">
      <w:pPr>
        <w:pStyle w:val="font-claude-response-body"/>
        <w:rPr>
          <w:rFonts w:ascii="Segoe UI" w:hAnsi="Segoe UI" w:cs="Segoe UI"/>
        </w:rPr>
      </w:pPr>
      <w:r w:rsidRPr="00BC5AC7">
        <w:rPr>
          <w:rFonts w:ascii="Segoe UI" w:hAnsi="Segoe UI" w:cs="Segoe UI"/>
        </w:rPr>
        <w:t>If the trustee does not complete the required continuing education within the 30-day suspension period, the board president, or the vice president if the non-compliant trustee holds the office of president, initiates the removal process under Education Law Section 226(8). That process requires a written complaint filed by a trustee, written notice to the accused trustee and all board members at least one week before the proposed action, and a majority vote of the entire board.</w:t>
      </w:r>
    </w:p>
    <w:p w14:paraId="3A8E02BB" w14:textId="77777777" w:rsidR="00BC5AC7" w:rsidRPr="00BC5AC7" w:rsidRDefault="00BC5AC7" w:rsidP="00BC5AC7">
      <w:pPr>
        <w:pStyle w:val="font-claude-response-body"/>
        <w:rPr>
          <w:rFonts w:ascii="Segoe UI" w:hAnsi="Segoe UI" w:cs="Segoe UI"/>
        </w:rPr>
      </w:pPr>
      <w:r w:rsidRPr="00BC5AC7">
        <w:rPr>
          <w:rFonts w:ascii="Segoe UI" w:hAnsi="Segoe UI" w:cs="Segoe UI"/>
          <w:highlight w:val="yellow"/>
        </w:rPr>
        <w:t>[POLICY NOTE: Confirm that your bylaws identify the vice president as the officer next in succession to the president. If your bylaws name a different officer as second in line, substitute that title here.]</w:t>
      </w:r>
    </w:p>
    <w:p w14:paraId="750BA4C9" w14:textId="77777777" w:rsidR="00BC5AC7" w:rsidRPr="00BC5AC7" w:rsidRDefault="00BC5AC7" w:rsidP="00BC5AC7">
      <w:pPr>
        <w:pStyle w:val="Heading2"/>
      </w:pPr>
      <w:r w:rsidRPr="00BC5AC7">
        <w:rPr>
          <w:rStyle w:val="Strong"/>
          <w:b/>
          <w:bCs/>
        </w:rPr>
        <w:t>Records</w:t>
      </w:r>
    </w:p>
    <w:p w14:paraId="5ABD9F97" w14:textId="77777777" w:rsidR="00BC5AC7" w:rsidRPr="00BC5AC7" w:rsidRDefault="00BC5AC7" w:rsidP="00BC5AC7">
      <w:pPr>
        <w:pStyle w:val="font-claude-response-body"/>
        <w:rPr>
          <w:rFonts w:ascii="Segoe UI" w:hAnsi="Segoe UI" w:cs="Segoe UI"/>
        </w:rPr>
      </w:pPr>
      <w:r w:rsidRPr="00BC5AC7">
        <w:rPr>
          <w:rFonts w:ascii="Segoe UI" w:hAnsi="Segoe UI" w:cs="Segoe UI"/>
        </w:rPr>
        <w:t>The library maintains trustee continuing education records as permanent board administrative records. These records include all certificates of completion, self-assurance forms, board actions related to prorated requirements, and board minutes confirming annual compliance.</w:t>
      </w:r>
    </w:p>
    <w:p w14:paraId="37A04557" w14:textId="77777777" w:rsidR="00BC5AC7" w:rsidRPr="00BC5AC7" w:rsidRDefault="00BC5AC7" w:rsidP="00BC5AC7">
      <w:pPr>
        <w:pStyle w:val="font-claude-response-body"/>
        <w:rPr>
          <w:rFonts w:ascii="Segoe UI" w:hAnsi="Segoe UI" w:cs="Segoe UI"/>
        </w:rPr>
      </w:pPr>
      <w:r w:rsidRPr="00BC5AC7">
        <w:rPr>
          <w:rFonts w:ascii="Segoe UI" w:hAnsi="Segoe UI" w:cs="Segoe UI"/>
          <w:highlight w:val="yellow"/>
        </w:rPr>
        <w:t>[POLICY NOTE: Confirm the applicable retention period with your library's records retention schedule. The New York State Archives LGS-1 schedule does not include a dedicated series for trustee education records. Until a specific series is identified, permanent retention is the recommended conservative default. Contact OWWL Library System or the New York State Archives for guidance.]</w:t>
      </w:r>
    </w:p>
    <w:p w14:paraId="1A90DA26" w14:textId="77777777" w:rsidR="00BC5AC7" w:rsidRPr="00BC5AC7" w:rsidRDefault="00BC5AC7" w:rsidP="00BC5AC7">
      <w:pPr>
        <w:pStyle w:val="Heading2"/>
      </w:pPr>
      <w:r w:rsidRPr="00BC5AC7">
        <w:rPr>
          <w:rStyle w:val="Strong"/>
          <w:b/>
          <w:bCs/>
        </w:rPr>
        <w:t>Review</w:t>
      </w:r>
    </w:p>
    <w:p w14:paraId="3D592F23" w14:textId="4C4C54F6" w:rsidR="0096013D" w:rsidRPr="00BC5AC7" w:rsidRDefault="00BC5AC7" w:rsidP="00BC5AC7">
      <w:pPr>
        <w:pStyle w:val="font-claude-response-body"/>
        <w:rPr>
          <w:rFonts w:ascii="Segoe UI" w:hAnsi="Segoe UI" w:cs="Segoe UI"/>
        </w:rPr>
      </w:pPr>
      <w:r w:rsidRPr="00BC5AC7">
        <w:rPr>
          <w:rFonts w:ascii="Segoe UI" w:hAnsi="Segoe UI" w:cs="Segoe UI"/>
        </w:rPr>
        <w:lastRenderedPageBreak/>
        <w:t>The board reviews this policy every five years, consistent with 8 NYCRR Section 90.2, or sooner if Education Law Section 260-d or related guidance from the New York State Library is amended.</w:t>
      </w:r>
    </w:p>
    <w:p w14:paraId="5155FF4F" w14:textId="77777777" w:rsidR="0096013D" w:rsidRPr="0096013D" w:rsidRDefault="0096013D" w:rsidP="006C5783">
      <w:pPr>
        <w:spacing w:before="100" w:beforeAutospacing="1" w:after="100" w:afterAutospacing="1" w:line="240" w:lineRule="auto"/>
        <w:jc w:val="right"/>
        <w:rPr>
          <w:rFonts w:ascii="Segoe UI" w:eastAsia="Times New Roman" w:hAnsi="Segoe UI" w:cs="Segoe UI"/>
          <w:i/>
          <w:iCs/>
          <w:sz w:val="24"/>
          <w:szCs w:val="24"/>
        </w:rPr>
      </w:pPr>
      <w:r w:rsidRPr="0096013D">
        <w:rPr>
          <w:rFonts w:ascii="Segoe UI" w:eastAsia="Times New Roman" w:hAnsi="Segoe UI" w:cs="Segoe UI"/>
          <w:i/>
          <w:iCs/>
          <w:sz w:val="24"/>
          <w:szCs w:val="24"/>
        </w:rPr>
        <w:t>Approved by the [LIBRARY NAME] Board of Trustees on [DATE].</w:t>
      </w:r>
    </w:p>
    <w:p w14:paraId="4E5ECB1F" w14:textId="6CC8C578" w:rsidR="00A30541" w:rsidRPr="006C5783" w:rsidRDefault="00A30541" w:rsidP="00FB168E">
      <w:pPr>
        <w:rPr>
          <w:rFonts w:ascii="Segoe UI" w:hAnsi="Segoe UI" w:cs="Segoe UI"/>
          <w:i/>
          <w:iCs/>
        </w:rPr>
      </w:pPr>
    </w:p>
    <w:sectPr w:rsidR="00A30541" w:rsidRPr="006C57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B35AD7"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42D45"/>
    <w:multiLevelType w:val="multilevel"/>
    <w:tmpl w:val="ED3A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00979"/>
    <w:multiLevelType w:val="multilevel"/>
    <w:tmpl w:val="2A1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821CB"/>
    <w:multiLevelType w:val="multilevel"/>
    <w:tmpl w:val="3C8E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F41D9"/>
    <w:multiLevelType w:val="multilevel"/>
    <w:tmpl w:val="E88C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F31DF"/>
    <w:multiLevelType w:val="multilevel"/>
    <w:tmpl w:val="0F6C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
  </w:num>
  <w:num w:numId="4">
    <w:abstractNumId w:val="7"/>
  </w:num>
  <w:num w:numId="5">
    <w:abstractNumId w:val="0"/>
  </w:num>
  <w:num w:numId="6">
    <w:abstractNumId w:val="10"/>
  </w:num>
  <w:num w:numId="7">
    <w:abstractNumId w:val="13"/>
  </w:num>
  <w:num w:numId="8">
    <w:abstractNumId w:val="5"/>
  </w:num>
  <w:num w:numId="9">
    <w:abstractNumId w:val="8"/>
  </w:num>
  <w:num w:numId="10">
    <w:abstractNumId w:val="6"/>
  </w:num>
  <w:num w:numId="11">
    <w:abstractNumId w:val="3"/>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694286"/>
    <w:rsid w:val="006C5783"/>
    <w:rsid w:val="00871D31"/>
    <w:rsid w:val="0096013D"/>
    <w:rsid w:val="00986541"/>
    <w:rsid w:val="00A30541"/>
    <w:rsid w:val="00B35AD7"/>
    <w:rsid w:val="00BC5AC7"/>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BC5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5AC7"/>
    <w:rPr>
      <w:b/>
      <w:bCs/>
    </w:rPr>
  </w:style>
  <w:style w:type="paragraph" w:customStyle="1" w:styleId="whitespace-normal">
    <w:name w:val="whitespace-normal"/>
    <w:basedOn w:val="Normal"/>
    <w:rsid w:val="00BC5A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360664623">
      <w:bodyDiv w:val="1"/>
      <w:marLeft w:val="0"/>
      <w:marRight w:val="0"/>
      <w:marTop w:val="0"/>
      <w:marBottom w:val="0"/>
      <w:divBdr>
        <w:top w:val="none" w:sz="0" w:space="0" w:color="auto"/>
        <w:left w:val="none" w:sz="0" w:space="0" w:color="auto"/>
        <w:bottom w:val="none" w:sz="0" w:space="0" w:color="auto"/>
        <w:right w:val="none" w:sz="0" w:space="0" w:color="auto"/>
      </w:divBdr>
      <w:divsChild>
        <w:div w:id="2124379852">
          <w:marLeft w:val="0"/>
          <w:marRight w:val="0"/>
          <w:marTop w:val="0"/>
          <w:marBottom w:val="0"/>
          <w:divBdr>
            <w:top w:val="none" w:sz="0" w:space="0" w:color="auto"/>
            <w:left w:val="none" w:sz="0" w:space="0" w:color="auto"/>
            <w:bottom w:val="none" w:sz="0" w:space="0" w:color="auto"/>
            <w:right w:val="none" w:sz="0" w:space="0" w:color="auto"/>
          </w:divBdr>
          <w:divsChild>
            <w:div w:id="1844662511">
              <w:marLeft w:val="0"/>
              <w:marRight w:val="0"/>
              <w:marTop w:val="0"/>
              <w:marBottom w:val="0"/>
              <w:divBdr>
                <w:top w:val="none" w:sz="0" w:space="0" w:color="auto"/>
                <w:left w:val="none" w:sz="0" w:space="0" w:color="auto"/>
                <w:bottom w:val="none" w:sz="0" w:space="0" w:color="auto"/>
                <w:right w:val="none" w:sz="0" w:space="0" w:color="auto"/>
              </w:divBdr>
              <w:divsChild>
                <w:div w:id="1474523050">
                  <w:marLeft w:val="0"/>
                  <w:marRight w:val="0"/>
                  <w:marTop w:val="0"/>
                  <w:marBottom w:val="0"/>
                  <w:divBdr>
                    <w:top w:val="none" w:sz="0" w:space="0" w:color="auto"/>
                    <w:left w:val="none" w:sz="0" w:space="0" w:color="auto"/>
                    <w:bottom w:val="none" w:sz="0" w:space="0" w:color="auto"/>
                    <w:right w:val="none" w:sz="0" w:space="0" w:color="auto"/>
                  </w:divBdr>
                  <w:divsChild>
                    <w:div w:id="532503454">
                      <w:marLeft w:val="0"/>
                      <w:marRight w:val="0"/>
                      <w:marTop w:val="0"/>
                      <w:marBottom w:val="0"/>
                      <w:divBdr>
                        <w:top w:val="none" w:sz="0" w:space="0" w:color="auto"/>
                        <w:left w:val="none" w:sz="0" w:space="0" w:color="auto"/>
                        <w:bottom w:val="none" w:sz="0" w:space="0" w:color="auto"/>
                        <w:right w:val="none" w:sz="0" w:space="0" w:color="auto"/>
                      </w:divBdr>
                      <w:divsChild>
                        <w:div w:id="1857574438">
                          <w:marLeft w:val="0"/>
                          <w:marRight w:val="0"/>
                          <w:marTop w:val="0"/>
                          <w:marBottom w:val="0"/>
                          <w:divBdr>
                            <w:top w:val="none" w:sz="0" w:space="0" w:color="auto"/>
                            <w:left w:val="none" w:sz="0" w:space="0" w:color="auto"/>
                            <w:bottom w:val="none" w:sz="0" w:space="0" w:color="auto"/>
                            <w:right w:val="none" w:sz="0" w:space="0" w:color="auto"/>
                          </w:divBdr>
                          <w:divsChild>
                            <w:div w:id="2027174505">
                              <w:marLeft w:val="0"/>
                              <w:marRight w:val="0"/>
                              <w:marTop w:val="0"/>
                              <w:marBottom w:val="0"/>
                              <w:divBdr>
                                <w:top w:val="none" w:sz="0" w:space="0" w:color="auto"/>
                                <w:left w:val="none" w:sz="0" w:space="0" w:color="auto"/>
                                <w:bottom w:val="none" w:sz="0" w:space="0" w:color="auto"/>
                                <w:right w:val="none" w:sz="0" w:space="0" w:color="auto"/>
                              </w:divBdr>
                              <w:divsChild>
                                <w:div w:id="2073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710042">
      <w:bodyDiv w:val="1"/>
      <w:marLeft w:val="0"/>
      <w:marRight w:val="0"/>
      <w:marTop w:val="0"/>
      <w:marBottom w:val="0"/>
      <w:divBdr>
        <w:top w:val="none" w:sz="0" w:space="0" w:color="auto"/>
        <w:left w:val="none" w:sz="0" w:space="0" w:color="auto"/>
        <w:bottom w:val="none" w:sz="0" w:space="0" w:color="auto"/>
        <w:right w:val="none" w:sz="0" w:space="0" w:color="auto"/>
      </w:divBdr>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029793637">
      <w:bodyDiv w:val="1"/>
      <w:marLeft w:val="0"/>
      <w:marRight w:val="0"/>
      <w:marTop w:val="0"/>
      <w:marBottom w:val="0"/>
      <w:divBdr>
        <w:top w:val="none" w:sz="0" w:space="0" w:color="auto"/>
        <w:left w:val="none" w:sz="0" w:space="0" w:color="auto"/>
        <w:bottom w:val="none" w:sz="0" w:space="0" w:color="auto"/>
        <w:right w:val="none" w:sz="0" w:space="0" w:color="auto"/>
      </w:divBdr>
    </w:div>
    <w:div w:id="1483497765">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 w:id="1750151054">
      <w:bodyDiv w:val="1"/>
      <w:marLeft w:val="0"/>
      <w:marRight w:val="0"/>
      <w:marTop w:val="0"/>
      <w:marBottom w:val="0"/>
      <w:divBdr>
        <w:top w:val="none" w:sz="0" w:space="0" w:color="auto"/>
        <w:left w:val="none" w:sz="0" w:space="0" w:color="auto"/>
        <w:bottom w:val="none" w:sz="0" w:space="0" w:color="auto"/>
        <w:right w:val="none" w:sz="0" w:space="0" w:color="auto"/>
      </w:divBdr>
      <w:divsChild>
        <w:div w:id="1174607272">
          <w:marLeft w:val="0"/>
          <w:marRight w:val="0"/>
          <w:marTop w:val="0"/>
          <w:marBottom w:val="0"/>
          <w:divBdr>
            <w:top w:val="none" w:sz="0" w:space="0" w:color="auto"/>
            <w:left w:val="none" w:sz="0" w:space="0" w:color="auto"/>
            <w:bottom w:val="none" w:sz="0" w:space="0" w:color="auto"/>
            <w:right w:val="none" w:sz="0" w:space="0" w:color="auto"/>
          </w:divBdr>
          <w:divsChild>
            <w:div w:id="1786852918">
              <w:marLeft w:val="0"/>
              <w:marRight w:val="0"/>
              <w:marTop w:val="0"/>
              <w:marBottom w:val="0"/>
              <w:divBdr>
                <w:top w:val="none" w:sz="0" w:space="0" w:color="auto"/>
                <w:left w:val="none" w:sz="0" w:space="0" w:color="auto"/>
                <w:bottom w:val="none" w:sz="0" w:space="0" w:color="auto"/>
                <w:right w:val="none" w:sz="0" w:space="0" w:color="auto"/>
              </w:divBdr>
              <w:divsChild>
                <w:div w:id="1990747716">
                  <w:marLeft w:val="0"/>
                  <w:marRight w:val="0"/>
                  <w:marTop w:val="0"/>
                  <w:marBottom w:val="0"/>
                  <w:divBdr>
                    <w:top w:val="none" w:sz="0" w:space="0" w:color="auto"/>
                    <w:left w:val="none" w:sz="0" w:space="0" w:color="auto"/>
                    <w:bottom w:val="none" w:sz="0" w:space="0" w:color="auto"/>
                    <w:right w:val="none" w:sz="0" w:space="0" w:color="auto"/>
                  </w:divBdr>
                  <w:divsChild>
                    <w:div w:id="1232618554">
                      <w:marLeft w:val="0"/>
                      <w:marRight w:val="0"/>
                      <w:marTop w:val="0"/>
                      <w:marBottom w:val="0"/>
                      <w:divBdr>
                        <w:top w:val="none" w:sz="0" w:space="0" w:color="auto"/>
                        <w:left w:val="none" w:sz="0" w:space="0" w:color="auto"/>
                        <w:bottom w:val="none" w:sz="0" w:space="0" w:color="auto"/>
                        <w:right w:val="none" w:sz="0" w:space="0" w:color="auto"/>
                      </w:divBdr>
                      <w:divsChild>
                        <w:div w:id="1097673749">
                          <w:marLeft w:val="0"/>
                          <w:marRight w:val="0"/>
                          <w:marTop w:val="0"/>
                          <w:marBottom w:val="0"/>
                          <w:divBdr>
                            <w:top w:val="none" w:sz="0" w:space="0" w:color="auto"/>
                            <w:left w:val="none" w:sz="0" w:space="0" w:color="auto"/>
                            <w:bottom w:val="none" w:sz="0" w:space="0" w:color="auto"/>
                            <w:right w:val="none" w:sz="0" w:space="0" w:color="auto"/>
                          </w:divBdr>
                          <w:divsChild>
                            <w:div w:id="1218586969">
                              <w:marLeft w:val="0"/>
                              <w:marRight w:val="0"/>
                              <w:marTop w:val="0"/>
                              <w:marBottom w:val="0"/>
                              <w:divBdr>
                                <w:top w:val="none" w:sz="0" w:space="0" w:color="auto"/>
                                <w:left w:val="none" w:sz="0" w:space="0" w:color="auto"/>
                                <w:bottom w:val="none" w:sz="0" w:space="0" w:color="auto"/>
                                <w:right w:val="none" w:sz="0" w:space="0" w:color="auto"/>
                              </w:divBdr>
                              <w:divsChild>
                                <w:div w:id="309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5</cp:revision>
  <dcterms:created xsi:type="dcterms:W3CDTF">2026-04-03T15:53:00Z</dcterms:created>
  <dcterms:modified xsi:type="dcterms:W3CDTF">2026-04-24T15:11:00Z</dcterms:modified>
</cp:coreProperties>
</file>